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4828" w14:textId="77777777" w:rsidR="00CA5BF5" w:rsidRDefault="003C537A" w:rsidP="00CA5BF5">
      <w:pPr>
        <w:pStyle w:val="F2-zkladn"/>
        <w:spacing w:line="276" w:lineRule="auto"/>
        <w:rPr>
          <w:b/>
          <w:sz w:val="28"/>
          <w:szCs w:val="28"/>
        </w:rPr>
      </w:pPr>
      <w:r>
        <w:rPr>
          <w:b/>
          <w:sz w:val="28"/>
          <w:szCs w:val="28"/>
        </w:rPr>
        <w:t>TISKOVÁ ZPRÁVA</w:t>
      </w:r>
    </w:p>
    <w:p w14:paraId="43BBD92F" w14:textId="3989FBDE" w:rsidR="000C727D" w:rsidRPr="00CA5BF5" w:rsidRDefault="00DE3946" w:rsidP="00CA5BF5">
      <w:pPr>
        <w:pStyle w:val="F2-zkladn"/>
        <w:spacing w:line="276" w:lineRule="auto"/>
        <w:jc w:val="right"/>
        <w:rPr>
          <w:b/>
          <w:sz w:val="28"/>
          <w:szCs w:val="28"/>
        </w:rPr>
      </w:pPr>
      <w:r w:rsidRPr="00455A3C">
        <w:tab/>
      </w:r>
      <w:r w:rsidRPr="00893890">
        <w:t>Praha,</w:t>
      </w:r>
      <w:r w:rsidR="00883B41">
        <w:t xml:space="preserve"> </w:t>
      </w:r>
      <w:r w:rsidR="00F60E69">
        <w:t>14</w:t>
      </w:r>
      <w:r w:rsidR="005420B4" w:rsidRPr="00893890">
        <w:t>.</w:t>
      </w:r>
      <w:r w:rsidR="00296EFF">
        <w:t xml:space="preserve"> </w:t>
      </w:r>
      <w:r w:rsidR="00F60E69">
        <w:t>srpna</w:t>
      </w:r>
      <w:r w:rsidR="00EB4F26">
        <w:t xml:space="preserve"> </w:t>
      </w:r>
      <w:r w:rsidR="00A30105" w:rsidRPr="00893890">
        <w:t>20</w:t>
      </w:r>
      <w:r w:rsidR="00A7414F" w:rsidRPr="00893890">
        <w:t>2</w:t>
      </w:r>
      <w:r w:rsidR="006E5C5D">
        <w:t>5</w:t>
      </w:r>
    </w:p>
    <w:p w14:paraId="1887B1D3" w14:textId="77777777" w:rsidR="002027ED" w:rsidRPr="002027ED" w:rsidRDefault="002027ED" w:rsidP="002027ED">
      <w:pPr>
        <w:pStyle w:val="F2-zkladn"/>
        <w:tabs>
          <w:tab w:val="right" w:pos="9070"/>
        </w:tabs>
        <w:spacing w:line="276" w:lineRule="auto"/>
      </w:pPr>
    </w:p>
    <w:p w14:paraId="28BDA5A6" w14:textId="1660F434" w:rsidR="00E01FF7" w:rsidRPr="00E01FF7" w:rsidRDefault="003C537A" w:rsidP="00E01FF7">
      <w:pPr>
        <w:pStyle w:val="paragraph"/>
        <w:spacing w:before="0" w:after="0" w:line="276" w:lineRule="auto"/>
        <w:textAlignment w:val="baseline"/>
        <w:rPr>
          <w:rStyle w:val="normaltextrun"/>
          <w:rFonts w:ascii="Arial" w:hAnsi="Arial" w:cs="Arial"/>
          <w:b/>
          <w:bCs/>
          <w:lang w:val="cs-CZ"/>
        </w:rPr>
      </w:pPr>
      <w:r>
        <w:rPr>
          <w:rStyle w:val="normaltextrun"/>
          <w:rFonts w:ascii="Arial" w:hAnsi="Arial" w:cs="Arial"/>
          <w:b/>
          <w:bCs/>
          <w:color w:val="000000"/>
          <w:sz w:val="28"/>
          <w:szCs w:val="28"/>
          <w:lang w:val="cs-CZ"/>
        </w:rPr>
        <w:t xml:space="preserve">Fidelity International: </w:t>
      </w:r>
      <w:r w:rsidR="00F60E69">
        <w:rPr>
          <w:rStyle w:val="normaltextrun"/>
          <w:rFonts w:ascii="Arial" w:hAnsi="Arial" w:cs="Arial"/>
          <w:b/>
          <w:bCs/>
          <w:color w:val="000000"/>
          <w:sz w:val="28"/>
          <w:szCs w:val="28"/>
          <w:lang w:val="cs-CZ"/>
        </w:rPr>
        <w:t xml:space="preserve">Měsíční přehled fondů </w:t>
      </w:r>
      <w:r w:rsidR="00421B88">
        <w:rPr>
          <w:rStyle w:val="normaltextrun"/>
          <w:rFonts w:ascii="Arial" w:hAnsi="Arial" w:cs="Arial"/>
          <w:b/>
          <w:bCs/>
          <w:color w:val="000000"/>
          <w:sz w:val="28"/>
          <w:szCs w:val="28"/>
          <w:lang w:val="cs-CZ"/>
        </w:rPr>
        <w:t xml:space="preserve">ETF </w:t>
      </w:r>
      <w:r w:rsidR="00F60E69" w:rsidRPr="00F60E69">
        <w:rPr>
          <w:rStyle w:val="normaltextrun"/>
          <w:rFonts w:ascii="Arial" w:hAnsi="Arial" w:cs="Arial"/>
          <w:b/>
          <w:bCs/>
          <w:color w:val="000000"/>
          <w:sz w:val="28"/>
          <w:szCs w:val="28"/>
          <w:lang w:val="cs-CZ"/>
        </w:rPr>
        <w:t>–</w:t>
      </w:r>
      <w:r w:rsidR="00F60E69">
        <w:rPr>
          <w:rStyle w:val="normaltextrun"/>
          <w:rFonts w:ascii="Arial" w:hAnsi="Arial" w:cs="Arial"/>
          <w:b/>
          <w:bCs/>
          <w:color w:val="000000"/>
          <w:sz w:val="28"/>
          <w:szCs w:val="28"/>
          <w:lang w:val="cs-CZ"/>
        </w:rPr>
        <w:t xml:space="preserve"> červenec 2025</w:t>
      </w:r>
    </w:p>
    <w:p w14:paraId="0E889B6A" w14:textId="7CB16D8B" w:rsidR="003C537A" w:rsidRDefault="00F60E69" w:rsidP="00D8553D">
      <w:pPr>
        <w:pStyle w:val="F2-zkladn"/>
        <w:rPr>
          <w:rFonts w:asciiTheme="minorHAnsi" w:hAnsiTheme="minorHAnsi" w:cstheme="minorHAnsi"/>
          <w:b/>
          <w:bCs/>
          <w:sz w:val="24"/>
          <w:szCs w:val="24"/>
        </w:rPr>
      </w:pPr>
      <w:r>
        <w:rPr>
          <w:rFonts w:asciiTheme="minorHAnsi" w:hAnsiTheme="minorHAnsi" w:cstheme="minorHAnsi"/>
          <w:b/>
          <w:bCs/>
          <w:sz w:val="24"/>
          <w:szCs w:val="24"/>
        </w:rPr>
        <w:t>Tým Fidelity zaměřený na ETF analyzuje</w:t>
      </w:r>
      <w:r w:rsidR="00FB63B1">
        <w:rPr>
          <w:rFonts w:asciiTheme="minorHAnsi" w:hAnsiTheme="minorHAnsi" w:cstheme="minorHAnsi"/>
          <w:b/>
          <w:bCs/>
          <w:sz w:val="24"/>
          <w:szCs w:val="24"/>
        </w:rPr>
        <w:t xml:space="preserve"> toky</w:t>
      </w:r>
      <w:r>
        <w:rPr>
          <w:rFonts w:asciiTheme="minorHAnsi" w:hAnsiTheme="minorHAnsi" w:cstheme="minorHAnsi"/>
          <w:b/>
          <w:bCs/>
          <w:sz w:val="24"/>
          <w:szCs w:val="24"/>
        </w:rPr>
        <w:t xml:space="preserve"> do tržně obchodovaných fondů v Evropě za poslední měsíc a rozebírá, do jakých konkrétních tříd aktiv, témat či regionů investoři směřovali své prostředky v kontextu širších událostí</w:t>
      </w:r>
      <w:r w:rsidR="00FB63B1">
        <w:rPr>
          <w:rFonts w:asciiTheme="minorHAnsi" w:hAnsiTheme="minorHAnsi" w:cstheme="minorHAnsi"/>
          <w:b/>
          <w:bCs/>
          <w:sz w:val="24"/>
          <w:szCs w:val="24"/>
        </w:rPr>
        <w:t xml:space="preserve"> na trhu.</w:t>
      </w:r>
    </w:p>
    <w:p w14:paraId="29BED746" w14:textId="7173EEB9" w:rsidR="004C6D56" w:rsidRPr="004C6D56" w:rsidRDefault="00F60E69" w:rsidP="004C6D56">
      <w:pPr>
        <w:pStyle w:val="Odstavecseseznamem"/>
        <w:numPr>
          <w:ilvl w:val="0"/>
          <w:numId w:val="48"/>
        </w:numPr>
      </w:pPr>
      <w:r w:rsidRPr="00F60E69">
        <w:t xml:space="preserve">ETF s evropským domicilem </w:t>
      </w:r>
      <w:r>
        <w:t>zaznamenaly v červenci silný měsíc s čistými přílivy ve výši 31 miliard USD, což posunulo objem spravovaných aktiv (</w:t>
      </w:r>
      <w:proofErr w:type="spellStart"/>
      <w:r>
        <w:t>AuM</w:t>
      </w:r>
      <w:proofErr w:type="spellEnd"/>
      <w:r>
        <w:t xml:space="preserve">) na rekordních 2,8 bilionu USD. </w:t>
      </w:r>
    </w:p>
    <w:p w14:paraId="195560E3" w14:textId="5DB7AC01" w:rsidR="001D441A" w:rsidRPr="001D441A" w:rsidRDefault="00F60E69" w:rsidP="004C6D56">
      <w:pPr>
        <w:pStyle w:val="Odstavecseseznamem"/>
        <w:numPr>
          <w:ilvl w:val="0"/>
          <w:numId w:val="48"/>
        </w:numPr>
      </w:pPr>
      <w:r w:rsidRPr="00F60E69">
        <w:t xml:space="preserve">Největší příliv kapitálu </w:t>
      </w:r>
      <w:r>
        <w:t xml:space="preserve">směřoval do akciových ETF v objemu 25 miliard USD, následovaný dluhopisovými se 4 miliardami USD, komoditními s 800 miliony USD a menšími příspěvky z oblasti kryptoměn, </w:t>
      </w:r>
      <w:proofErr w:type="spellStart"/>
      <w:r>
        <w:t>multi-asset</w:t>
      </w:r>
      <w:proofErr w:type="spellEnd"/>
      <w:r>
        <w:t xml:space="preserve"> a alternativních strategií. </w:t>
      </w:r>
    </w:p>
    <w:p w14:paraId="7B72B0BD" w14:textId="2C462052" w:rsidR="004C6D56" w:rsidRDefault="00F60E69" w:rsidP="004C6D56">
      <w:pPr>
        <w:pStyle w:val="Odstavecseseznamem"/>
        <w:numPr>
          <w:ilvl w:val="0"/>
          <w:numId w:val="48"/>
        </w:numPr>
      </w:pPr>
      <w:r w:rsidRPr="00F60E69">
        <w:t>Vedle kapitálových toků jsme zaznamenali rekordní počty nově spuštěných fondů v pěti ze šesti měsíců první poloviny roku 2025</w:t>
      </w:r>
      <w:r w:rsidR="00783557">
        <w:t>. O</w:t>
      </w:r>
      <w:r w:rsidRPr="00F60E69">
        <w:t xml:space="preserve">čekává se, že celkový počet nově spuštěných fondů dosáhne za celý rok 600. </w:t>
      </w:r>
    </w:p>
    <w:p w14:paraId="36BFA5F3" w14:textId="6088DA0F" w:rsidR="00D86162" w:rsidRPr="00F60E69" w:rsidRDefault="00D86162" w:rsidP="004C6D56">
      <w:pPr>
        <w:pStyle w:val="Odstavecseseznamem"/>
        <w:numPr>
          <w:ilvl w:val="0"/>
          <w:numId w:val="48"/>
        </w:numPr>
      </w:pPr>
      <w:r>
        <w:t xml:space="preserve">Aktivně spravované ETF nadále zvyšují svůj podíl na kapitálových tocích a v červenci představovaly již 10,2 % z celkových přílivů do ETF </w:t>
      </w:r>
      <w:r w:rsidRPr="00D86162">
        <w:t>–</w:t>
      </w:r>
      <w:r>
        <w:t xml:space="preserve"> nový měsíční rekord v tomto roce. </w:t>
      </w:r>
    </w:p>
    <w:p w14:paraId="79F33F6A" w14:textId="68F49ABF" w:rsidR="00D822F6" w:rsidRDefault="00D86162" w:rsidP="00D822F6">
      <w:pPr>
        <w:rPr>
          <w:b/>
          <w:bCs/>
        </w:rPr>
      </w:pPr>
      <w:r>
        <w:rPr>
          <w:b/>
          <w:bCs/>
        </w:rPr>
        <w:t xml:space="preserve">Pokračující příliv </w:t>
      </w:r>
      <w:r w:rsidR="004C2C00">
        <w:rPr>
          <w:b/>
          <w:bCs/>
        </w:rPr>
        <w:t>nových peněz, různé rizikové preference</w:t>
      </w:r>
    </w:p>
    <w:p w14:paraId="03D4AFFC" w14:textId="77777777" w:rsidR="001D441A" w:rsidRDefault="001D441A" w:rsidP="001D441A">
      <w:pPr>
        <w:shd w:val="clear" w:color="auto" w:fill="FFFFFF"/>
        <w:spacing w:before="0" w:after="140" w:line="240" w:lineRule="auto"/>
        <w:jc w:val="left"/>
        <w:rPr>
          <w:color w:val="20242B"/>
          <w:sz w:val="16"/>
          <w:szCs w:val="16"/>
        </w:rPr>
      </w:pPr>
    </w:p>
    <w:p w14:paraId="73416549" w14:textId="77777777" w:rsidR="004C2C00" w:rsidRDefault="004C2C00" w:rsidP="004C2C00">
      <w:pPr>
        <w:numPr>
          <w:ilvl w:val="0"/>
          <w:numId w:val="49"/>
        </w:numPr>
        <w:spacing w:line="276" w:lineRule="auto"/>
      </w:pPr>
      <w:r>
        <w:t>ETF s evropským domicilem zažily v červenci další pozitivní měsíc a zaznamenaly čistý peněžní příliv ve výši 31 miliard USD, čímž na konci měsíce dosáhly rekordních spravovaných aktiv (</w:t>
      </w:r>
      <w:proofErr w:type="spellStart"/>
      <w:r>
        <w:t>AuM</w:t>
      </w:r>
      <w:proofErr w:type="spellEnd"/>
      <w:r>
        <w:t>) ve výši 2,8 bilionu USD.</w:t>
      </w:r>
    </w:p>
    <w:p w14:paraId="2ED78E2B" w14:textId="77777777" w:rsidR="004C2C00" w:rsidRDefault="004C2C00" w:rsidP="004C2C00">
      <w:pPr>
        <w:numPr>
          <w:ilvl w:val="0"/>
          <w:numId w:val="49"/>
        </w:numPr>
        <w:spacing w:before="0" w:line="276" w:lineRule="auto"/>
      </w:pPr>
      <w:r>
        <w:t>Většina červencových peněžních přílivů, konkrétně 25 miliard USD (přibližně 82 %), směřovala do akciových ETF, což představuje silný obrat z nízkých hodnot v předchozích měsících. Dluhopisové ETF, kam putovalo nových 4,3 miliardy USD, vykázaly pozitivní dynamiku v korporátních dluhopisech, zatímco ETF na vládní dluhopisy zaznamenaly čistý odliv.</w:t>
      </w:r>
    </w:p>
    <w:p w14:paraId="1E75C9C9" w14:textId="77777777" w:rsidR="004C2C00" w:rsidRDefault="004C2C00" w:rsidP="004C2C00">
      <w:pPr>
        <w:numPr>
          <w:ilvl w:val="0"/>
          <w:numId w:val="49"/>
        </w:numPr>
        <w:spacing w:before="0" w:line="276" w:lineRule="auto"/>
      </w:pPr>
      <w:r>
        <w:t>Zajímavé je, že zatímco trend přílivů do akciových ETF zaměřených na Evropu a rozvíjející se trhy pokračoval, červenec znamenal výrazný čistý příliv i do amerických akciových ETF, které těžily z určitého přehodnocení tohoto regionu v očích investorů.</w:t>
      </w:r>
    </w:p>
    <w:p w14:paraId="27CAE668" w14:textId="77777777" w:rsidR="004C2C00" w:rsidRDefault="004C2C00" w:rsidP="004C2C00">
      <w:pPr>
        <w:numPr>
          <w:ilvl w:val="0"/>
          <w:numId w:val="49"/>
        </w:numPr>
        <w:spacing w:before="0" w:after="240" w:line="276" w:lineRule="auto"/>
      </w:pPr>
      <w:r>
        <w:t>Rok 2025 sice zůstává volatilní, v červenci jsme však byli u evropských ETF svědky významných posunů, které odrážejí změnu priorit investorů kvůli makroekonomickým faktorům, geopolitickým nejistotám či měnícím se investičním trendům. Zatímco po většinu roku dominovaly defenzivní a méně rizikové investice, červenec ukázal u některých segmentů trhu značný posun nálady k "risk-on" (ochotě podstupovat vyšší riziko).</w:t>
      </w:r>
    </w:p>
    <w:p w14:paraId="0EEC6037" w14:textId="77777777" w:rsidR="0086275F" w:rsidRDefault="0086275F" w:rsidP="001D441A">
      <w:pPr>
        <w:shd w:val="clear" w:color="auto" w:fill="FFFFFF"/>
        <w:spacing w:before="0" w:after="140" w:line="360" w:lineRule="auto"/>
      </w:pPr>
    </w:p>
    <w:p w14:paraId="69199A1D" w14:textId="77777777" w:rsidR="0086275F" w:rsidRDefault="0086275F" w:rsidP="001D441A">
      <w:pPr>
        <w:shd w:val="clear" w:color="auto" w:fill="FFFFFF"/>
        <w:spacing w:before="0" w:after="140" w:line="360" w:lineRule="auto"/>
      </w:pPr>
    </w:p>
    <w:p w14:paraId="505E5F5D" w14:textId="77777777" w:rsidR="0086275F" w:rsidRDefault="0086275F" w:rsidP="001D441A">
      <w:pPr>
        <w:shd w:val="clear" w:color="auto" w:fill="FFFFFF"/>
        <w:spacing w:before="0" w:after="140" w:line="360" w:lineRule="auto"/>
      </w:pPr>
    </w:p>
    <w:p w14:paraId="68233C8B" w14:textId="77777777" w:rsidR="005A47B7" w:rsidRPr="005A47B7" w:rsidRDefault="005A47B7" w:rsidP="005A47B7">
      <w:pPr>
        <w:pStyle w:val="F2-zkladn"/>
      </w:pPr>
    </w:p>
    <w:p w14:paraId="515BFC34" w14:textId="77777777" w:rsidR="0086275F" w:rsidRDefault="0086275F" w:rsidP="001D441A">
      <w:pPr>
        <w:shd w:val="clear" w:color="auto" w:fill="FFFFFF"/>
        <w:spacing w:before="0" w:after="140" w:line="360" w:lineRule="auto"/>
      </w:pPr>
    </w:p>
    <w:p w14:paraId="3C6DE005" w14:textId="77777777" w:rsidR="00893807" w:rsidRPr="0086275F" w:rsidRDefault="00893807" w:rsidP="00893807">
      <w:pPr>
        <w:shd w:val="clear" w:color="auto" w:fill="FFFFFF"/>
        <w:spacing w:before="0" w:after="140" w:line="360" w:lineRule="auto"/>
        <w:rPr>
          <w:b/>
          <w:bCs/>
        </w:rPr>
      </w:pPr>
      <w:r w:rsidRPr="0086275F">
        <w:rPr>
          <w:b/>
          <w:bCs/>
        </w:rPr>
        <w:lastRenderedPageBreak/>
        <w:t>Graf 1: Evropské ETF fondy na růstové vlně i v červenci</w:t>
      </w:r>
    </w:p>
    <w:p w14:paraId="7F58010B" w14:textId="7BBFAD9B" w:rsidR="0086275F" w:rsidRDefault="00893807" w:rsidP="00893807">
      <w:pPr>
        <w:shd w:val="clear" w:color="auto" w:fill="FFFFFF"/>
        <w:spacing w:before="0" w:after="140" w:line="360" w:lineRule="auto"/>
      </w:pPr>
      <w:r w:rsidRPr="00893807">
        <w:rPr>
          <w:noProof/>
        </w:rPr>
        <w:drawing>
          <wp:inline distT="0" distB="0" distL="0" distR="0" wp14:anchorId="03740C06" wp14:editId="12DEEE03">
            <wp:extent cx="5759450" cy="3078480"/>
            <wp:effectExtent l="0" t="0" r="0" b="7620"/>
            <wp:docPr id="155492587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25870" name=""/>
                    <pic:cNvPicPr/>
                  </pic:nvPicPr>
                  <pic:blipFill>
                    <a:blip r:embed="rId11"/>
                    <a:stretch>
                      <a:fillRect/>
                    </a:stretch>
                  </pic:blipFill>
                  <pic:spPr>
                    <a:xfrm>
                      <a:off x="0" y="0"/>
                      <a:ext cx="5759450" cy="3078480"/>
                    </a:xfrm>
                    <a:prstGeom prst="rect">
                      <a:avLst/>
                    </a:prstGeom>
                  </pic:spPr>
                </pic:pic>
              </a:graphicData>
            </a:graphic>
          </wp:inline>
        </w:drawing>
      </w:r>
    </w:p>
    <w:p w14:paraId="7F3BA36E" w14:textId="77777777" w:rsidR="00893807" w:rsidRPr="00893807" w:rsidRDefault="00893807" w:rsidP="00893807">
      <w:pPr>
        <w:spacing w:after="240"/>
        <w:rPr>
          <w:b/>
          <w:i/>
          <w:iCs/>
        </w:rPr>
      </w:pPr>
      <w:r w:rsidRPr="00893807">
        <w:rPr>
          <w:i/>
          <w:iCs/>
        </w:rPr>
        <w:t xml:space="preserve">Zdroj: </w:t>
      </w:r>
      <w:proofErr w:type="spellStart"/>
      <w:r w:rsidRPr="00893807">
        <w:rPr>
          <w:i/>
          <w:iCs/>
        </w:rPr>
        <w:t>etfbook</w:t>
      </w:r>
      <w:proofErr w:type="spellEnd"/>
      <w:r w:rsidRPr="00893807">
        <w:rPr>
          <w:i/>
          <w:iCs/>
        </w:rPr>
        <w:t>, 31. července 2025</w:t>
      </w:r>
    </w:p>
    <w:p w14:paraId="59F067FF" w14:textId="77777777" w:rsidR="00893807" w:rsidRPr="00893807" w:rsidRDefault="00893807" w:rsidP="00893807">
      <w:pPr>
        <w:pStyle w:val="F2-zkladn"/>
      </w:pPr>
    </w:p>
    <w:p w14:paraId="51517121" w14:textId="32A1D62B" w:rsidR="00893807" w:rsidRPr="0086275F" w:rsidRDefault="00893807" w:rsidP="00893807">
      <w:pPr>
        <w:shd w:val="clear" w:color="auto" w:fill="FFFFFF"/>
        <w:spacing w:before="0" w:after="140" w:line="360" w:lineRule="auto"/>
        <w:rPr>
          <w:b/>
          <w:bCs/>
        </w:rPr>
      </w:pPr>
      <w:r>
        <w:rPr>
          <w:b/>
          <w:bCs/>
        </w:rPr>
        <w:t>Vydavatelé ETF letní prázdniny nemají</w:t>
      </w:r>
    </w:p>
    <w:p w14:paraId="0E6116CC" w14:textId="77777777" w:rsidR="00893807" w:rsidRDefault="00893807" w:rsidP="00893807">
      <w:pPr>
        <w:numPr>
          <w:ilvl w:val="0"/>
          <w:numId w:val="50"/>
        </w:numPr>
        <w:spacing w:line="276" w:lineRule="auto"/>
      </w:pPr>
      <w:r>
        <w:t>Když odhlédneme od peněžních toků, stojí za zmínku trend, který vidíme u nově spuštěných ETF v roce 2025. V první polovině roku jsme zaznamenali celkem 298 nových kotací ETF, a jsme tak na dobré cestě k tomu, aby se letošní rok stal rekordním z hlediska počtu nově založených fondů a překonal číslo 600. Situace je daná i tím, že se stávající a noví emitenti snaží být o krok napřed s novými investičními trendy a uspokojovat poptávku investorů po inovativních řešeních.</w:t>
      </w:r>
    </w:p>
    <w:p w14:paraId="3DB44C34" w14:textId="77777777" w:rsidR="00893807" w:rsidRDefault="00893807" w:rsidP="00893807">
      <w:pPr>
        <w:numPr>
          <w:ilvl w:val="0"/>
          <w:numId w:val="50"/>
        </w:numPr>
        <w:spacing w:before="0" w:line="276" w:lineRule="auto"/>
      </w:pPr>
      <w:r>
        <w:t>Do konce června jsme zaznamenali v pěti ze šesti měsíců nové rekordy v počtu měsíčních spuštění nových ETF za poslední tři roky, s výjimkou února, kdy nejistota ohledně politických a právních kroků poněkud zpomalila počty nových fondů, než v březnu opět nabrala na síle.</w:t>
      </w:r>
    </w:p>
    <w:p w14:paraId="48DC344B" w14:textId="77777777" w:rsidR="00893807" w:rsidRDefault="00893807" w:rsidP="00893807">
      <w:pPr>
        <w:numPr>
          <w:ilvl w:val="0"/>
          <w:numId w:val="50"/>
        </w:numPr>
        <w:spacing w:before="0" w:after="240" w:line="276" w:lineRule="auto"/>
      </w:pPr>
      <w:r>
        <w:t>Červen znamenal jasný signál rostoucí sofistikovanosti evropského odvětví ETF, o čemž svědčí spuštění 73 nových kotací. Nové ETF zahrnovaly 33 různých nových fondů, různé třídy akcií a rozmanité tematické oblasti, jako aktivní či úrokové strategie, nabízené jak velkými, tak menšími vydavateli. Za zmínku stojí také zavedení prvního tureckého ETF peněžního trhu v tomto měsíci. A inovace budou pravděpodobně pokračovat, přičemž proces spouštění nových fondů se má na začátku podzimu dále zrychlit a pravděpodobně se zaměří na sofistikovanější struktury a oblasti ETF, které investoři poptávají.</w:t>
      </w:r>
    </w:p>
    <w:p w14:paraId="05CA5D91" w14:textId="77777777" w:rsidR="00236025" w:rsidRDefault="00236025" w:rsidP="00893807">
      <w:pPr>
        <w:shd w:val="clear" w:color="auto" w:fill="FFFFFF"/>
        <w:spacing w:before="0" w:after="140" w:line="360" w:lineRule="auto"/>
        <w:rPr>
          <w:b/>
          <w:bCs/>
        </w:rPr>
      </w:pPr>
    </w:p>
    <w:p w14:paraId="676670FF" w14:textId="77777777" w:rsidR="00236025" w:rsidRDefault="00236025" w:rsidP="00893807">
      <w:pPr>
        <w:shd w:val="clear" w:color="auto" w:fill="FFFFFF"/>
        <w:spacing w:before="0" w:after="140" w:line="360" w:lineRule="auto"/>
        <w:rPr>
          <w:b/>
          <w:bCs/>
        </w:rPr>
      </w:pPr>
    </w:p>
    <w:p w14:paraId="71A8544D" w14:textId="77777777" w:rsidR="00236025" w:rsidRDefault="00236025" w:rsidP="00893807">
      <w:pPr>
        <w:shd w:val="clear" w:color="auto" w:fill="FFFFFF"/>
        <w:spacing w:before="0" w:after="140" w:line="360" w:lineRule="auto"/>
        <w:rPr>
          <w:b/>
          <w:bCs/>
        </w:rPr>
      </w:pPr>
    </w:p>
    <w:p w14:paraId="426916FB" w14:textId="77777777" w:rsidR="00236025" w:rsidRDefault="00236025" w:rsidP="00893807">
      <w:pPr>
        <w:shd w:val="clear" w:color="auto" w:fill="FFFFFF"/>
        <w:spacing w:before="0" w:after="140" w:line="360" w:lineRule="auto"/>
        <w:rPr>
          <w:b/>
          <w:bCs/>
        </w:rPr>
      </w:pPr>
    </w:p>
    <w:p w14:paraId="1C82A7BA" w14:textId="77777777" w:rsidR="00236025" w:rsidRDefault="00236025" w:rsidP="00893807">
      <w:pPr>
        <w:shd w:val="clear" w:color="auto" w:fill="FFFFFF"/>
        <w:spacing w:before="0" w:after="140" w:line="360" w:lineRule="auto"/>
        <w:rPr>
          <w:b/>
          <w:bCs/>
        </w:rPr>
      </w:pPr>
    </w:p>
    <w:p w14:paraId="15EB04D7" w14:textId="2692145E" w:rsidR="00893807" w:rsidRPr="00893807" w:rsidRDefault="00236025" w:rsidP="00893807">
      <w:pPr>
        <w:shd w:val="clear" w:color="auto" w:fill="FFFFFF"/>
        <w:spacing w:before="0" w:after="140" w:line="360" w:lineRule="auto"/>
        <w:rPr>
          <w:b/>
          <w:bCs/>
        </w:rPr>
      </w:pPr>
      <w:r w:rsidRPr="00236025">
        <w:rPr>
          <w:noProof/>
        </w:rPr>
        <w:lastRenderedPageBreak/>
        <w:drawing>
          <wp:anchor distT="0" distB="0" distL="114300" distR="114300" simplePos="0" relativeHeight="251669504" behindDoc="0" locked="0" layoutInCell="1" allowOverlap="1" wp14:anchorId="156F2DF0" wp14:editId="7D05CF74">
            <wp:simplePos x="0" y="0"/>
            <wp:positionH relativeFrom="column">
              <wp:posOffset>-54610</wp:posOffset>
            </wp:positionH>
            <wp:positionV relativeFrom="paragraph">
              <wp:posOffset>251460</wp:posOffset>
            </wp:positionV>
            <wp:extent cx="5759450" cy="3150870"/>
            <wp:effectExtent l="0" t="0" r="0" b="0"/>
            <wp:wrapTopAndBottom/>
            <wp:docPr id="86868563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685638" name=""/>
                    <pic:cNvPicPr/>
                  </pic:nvPicPr>
                  <pic:blipFill>
                    <a:blip r:embed="rId12">
                      <a:extLst>
                        <a:ext uri="{28A0092B-C50C-407E-A947-70E740481C1C}">
                          <a14:useLocalDpi xmlns:a14="http://schemas.microsoft.com/office/drawing/2010/main" val="0"/>
                        </a:ext>
                      </a:extLst>
                    </a:blip>
                    <a:stretch>
                      <a:fillRect/>
                    </a:stretch>
                  </pic:blipFill>
                  <pic:spPr>
                    <a:xfrm>
                      <a:off x="0" y="0"/>
                      <a:ext cx="5759450" cy="3150870"/>
                    </a:xfrm>
                    <a:prstGeom prst="rect">
                      <a:avLst/>
                    </a:prstGeom>
                  </pic:spPr>
                </pic:pic>
              </a:graphicData>
            </a:graphic>
          </wp:anchor>
        </w:drawing>
      </w:r>
      <w:r>
        <w:rPr>
          <w:b/>
          <w:bCs/>
        </w:rPr>
        <w:t xml:space="preserve">Graf 2: </w:t>
      </w:r>
      <w:r w:rsidR="00893807">
        <w:rPr>
          <w:b/>
          <w:bCs/>
        </w:rPr>
        <w:t>V 5 ze 6 měsíců roku 2025 jsme zaznamenali rekordní počet spuštění ETF fondů</w:t>
      </w:r>
    </w:p>
    <w:p w14:paraId="14458EB6" w14:textId="6E82D6C2" w:rsidR="00236025" w:rsidRDefault="00236025" w:rsidP="00236025">
      <w:pPr>
        <w:spacing w:after="240"/>
      </w:pPr>
      <w:r w:rsidRPr="00236025">
        <w:t xml:space="preserve"> </w:t>
      </w:r>
      <w:r w:rsidRPr="00236025">
        <w:rPr>
          <w:i/>
          <w:iCs/>
        </w:rPr>
        <w:t xml:space="preserve">Zdroj: </w:t>
      </w:r>
      <w:proofErr w:type="spellStart"/>
      <w:r w:rsidRPr="00236025">
        <w:rPr>
          <w:i/>
          <w:iCs/>
        </w:rPr>
        <w:t>Bloomberg</w:t>
      </w:r>
      <w:proofErr w:type="spellEnd"/>
      <w:r w:rsidRPr="00236025">
        <w:rPr>
          <w:i/>
          <w:iCs/>
        </w:rPr>
        <w:t>, 14. července 2025</w:t>
      </w:r>
    </w:p>
    <w:p w14:paraId="4505B2FF" w14:textId="65E8177E" w:rsidR="001D441A" w:rsidRDefault="00B77651" w:rsidP="001D441A">
      <w:pPr>
        <w:rPr>
          <w:b/>
          <w:bCs/>
        </w:rPr>
      </w:pPr>
      <w:r>
        <w:rPr>
          <w:b/>
          <w:bCs/>
        </w:rPr>
        <w:t>Aktivně spravované ETF i nadále v oblibě</w:t>
      </w:r>
    </w:p>
    <w:p w14:paraId="06B0CD36" w14:textId="4B20EF21" w:rsidR="001D441A" w:rsidRDefault="001D441A" w:rsidP="001D441A">
      <w:pPr>
        <w:shd w:val="clear" w:color="auto" w:fill="FFFFFF"/>
        <w:spacing w:before="0" w:after="140" w:line="240" w:lineRule="auto"/>
        <w:jc w:val="left"/>
        <w:rPr>
          <w:color w:val="20242B"/>
          <w:sz w:val="16"/>
          <w:szCs w:val="16"/>
        </w:rPr>
      </w:pPr>
    </w:p>
    <w:p w14:paraId="2075537E" w14:textId="6671AAE1" w:rsidR="00B77651" w:rsidRDefault="00B77651" w:rsidP="00B77651">
      <w:pPr>
        <w:numPr>
          <w:ilvl w:val="0"/>
          <w:numId w:val="51"/>
        </w:numPr>
        <w:spacing w:line="276" w:lineRule="auto"/>
      </w:pPr>
      <w:r>
        <w:t>Zatímco pasivní strategie stále dominují evropské ETF scéně a tvoří přibližně 97 % z 2,8 bilionu USD spravovaných aktiv, podíl toků do aktivně spravovaných ETF v posledních letech stabilně roste.</w:t>
      </w:r>
    </w:p>
    <w:p w14:paraId="5010BB20" w14:textId="0DA40FC1" w:rsidR="00B77651" w:rsidRDefault="00B77651" w:rsidP="00B77651">
      <w:pPr>
        <w:numPr>
          <w:ilvl w:val="0"/>
          <w:numId w:val="51"/>
        </w:numPr>
        <w:spacing w:before="0" w:after="240" w:line="276" w:lineRule="auto"/>
      </w:pPr>
      <w:r>
        <w:t xml:space="preserve">Aktivně spravovaným ETF v červenci připadlo přibližně 10,2 % z celkových peněžních přílivů do ETF a zaznamenaly tak nejsilnější měsíc v roce 2025, když překonaly úroveň 3 miliard USD. V čele aktivních ETF stály akciové strategie, které přilákaly 2,1 miliardy USD, následované dluhopisovými a </w:t>
      </w:r>
      <w:proofErr w:type="spellStart"/>
      <w:r>
        <w:t>multi-asset</w:t>
      </w:r>
      <w:proofErr w:type="spellEnd"/>
      <w:r>
        <w:t xml:space="preserve"> strategiemi s čistým přílivem ve výši 977 milionů a 42 milionů USD.</w:t>
      </w:r>
    </w:p>
    <w:p w14:paraId="730B9F8F" w14:textId="770222F6" w:rsidR="00A758CB" w:rsidRDefault="00A758CB" w:rsidP="00A758CB">
      <w:pPr>
        <w:spacing w:after="240"/>
        <w:rPr>
          <w:b/>
        </w:rPr>
      </w:pPr>
      <w:r>
        <w:rPr>
          <w:b/>
          <w:bCs/>
        </w:rPr>
        <w:t xml:space="preserve">Graf 3: </w:t>
      </w:r>
      <w:r>
        <w:rPr>
          <w:b/>
        </w:rPr>
        <w:t>Aktivní ETF zaznamenaly v červenci rekordní měsíc</w:t>
      </w:r>
    </w:p>
    <w:p w14:paraId="594C28B0" w14:textId="69FD228C" w:rsidR="00A758CB" w:rsidRPr="00A758CB" w:rsidRDefault="001A7E89" w:rsidP="00A758CB">
      <w:pPr>
        <w:rPr>
          <w:b/>
          <w:bCs/>
        </w:rPr>
      </w:pPr>
      <w:r w:rsidRPr="001A7E89">
        <w:rPr>
          <w:noProof/>
        </w:rPr>
        <w:drawing>
          <wp:anchor distT="0" distB="0" distL="114300" distR="114300" simplePos="0" relativeHeight="251670528" behindDoc="0" locked="0" layoutInCell="1" allowOverlap="1" wp14:anchorId="3F791FA7" wp14:editId="7AA22C27">
            <wp:simplePos x="0" y="0"/>
            <wp:positionH relativeFrom="column">
              <wp:posOffset>-54610</wp:posOffset>
            </wp:positionH>
            <wp:positionV relativeFrom="paragraph">
              <wp:posOffset>95885</wp:posOffset>
            </wp:positionV>
            <wp:extent cx="4907280" cy="2553970"/>
            <wp:effectExtent l="0" t="0" r="7620" b="0"/>
            <wp:wrapThrough wrapText="bothSides">
              <wp:wrapPolygon edited="0">
                <wp:start x="0" y="0"/>
                <wp:lineTo x="0" y="21428"/>
                <wp:lineTo x="21550" y="21428"/>
                <wp:lineTo x="21550" y="0"/>
                <wp:lineTo x="0" y="0"/>
              </wp:wrapPolygon>
            </wp:wrapThrough>
            <wp:docPr id="115011304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13048" name=""/>
                    <pic:cNvPicPr/>
                  </pic:nvPicPr>
                  <pic:blipFill>
                    <a:blip r:embed="rId13">
                      <a:extLst>
                        <a:ext uri="{28A0092B-C50C-407E-A947-70E740481C1C}">
                          <a14:useLocalDpi xmlns:a14="http://schemas.microsoft.com/office/drawing/2010/main" val="0"/>
                        </a:ext>
                      </a:extLst>
                    </a:blip>
                    <a:stretch>
                      <a:fillRect/>
                    </a:stretch>
                  </pic:blipFill>
                  <pic:spPr>
                    <a:xfrm>
                      <a:off x="0" y="0"/>
                      <a:ext cx="4907280" cy="2553970"/>
                    </a:xfrm>
                    <a:prstGeom prst="rect">
                      <a:avLst/>
                    </a:prstGeom>
                  </pic:spPr>
                </pic:pic>
              </a:graphicData>
            </a:graphic>
            <wp14:sizeRelH relativeFrom="margin">
              <wp14:pctWidth>0</wp14:pctWidth>
            </wp14:sizeRelH>
            <wp14:sizeRelV relativeFrom="margin">
              <wp14:pctHeight>0</wp14:pctHeight>
            </wp14:sizeRelV>
          </wp:anchor>
        </w:drawing>
      </w:r>
    </w:p>
    <w:p w14:paraId="7BEF4EF9" w14:textId="77777777" w:rsidR="00C515AA" w:rsidRDefault="00C515AA" w:rsidP="002027ED">
      <w:pPr>
        <w:spacing w:before="0" w:line="240" w:lineRule="atLeast"/>
        <w:rPr>
          <w:b/>
        </w:rPr>
      </w:pPr>
    </w:p>
    <w:p w14:paraId="22378E2D" w14:textId="77777777" w:rsidR="00C515AA" w:rsidRDefault="00C515AA" w:rsidP="002027ED">
      <w:pPr>
        <w:spacing w:before="0" w:line="240" w:lineRule="atLeast"/>
        <w:rPr>
          <w:b/>
        </w:rPr>
      </w:pPr>
    </w:p>
    <w:p w14:paraId="28659098" w14:textId="77777777" w:rsidR="00C515AA" w:rsidRDefault="00C515AA" w:rsidP="002027ED">
      <w:pPr>
        <w:spacing w:before="0" w:line="240" w:lineRule="atLeast"/>
        <w:rPr>
          <w:b/>
        </w:rPr>
      </w:pPr>
    </w:p>
    <w:p w14:paraId="5E9F3B8D" w14:textId="77777777" w:rsidR="00C515AA" w:rsidRDefault="00C515AA" w:rsidP="002027ED">
      <w:pPr>
        <w:spacing w:before="0" w:line="240" w:lineRule="atLeast"/>
        <w:rPr>
          <w:b/>
        </w:rPr>
      </w:pPr>
    </w:p>
    <w:p w14:paraId="6051D894" w14:textId="77777777" w:rsidR="00C515AA" w:rsidRDefault="00C515AA" w:rsidP="002027ED">
      <w:pPr>
        <w:spacing w:before="0" w:line="240" w:lineRule="atLeast"/>
        <w:rPr>
          <w:b/>
        </w:rPr>
      </w:pPr>
    </w:p>
    <w:p w14:paraId="5FFDFF55" w14:textId="77777777" w:rsidR="00C515AA" w:rsidRDefault="00C515AA" w:rsidP="002027ED">
      <w:pPr>
        <w:spacing w:before="0" w:line="240" w:lineRule="atLeast"/>
        <w:rPr>
          <w:b/>
        </w:rPr>
      </w:pPr>
    </w:p>
    <w:p w14:paraId="6459BA29" w14:textId="77777777" w:rsidR="00C515AA" w:rsidRDefault="00C515AA" w:rsidP="002027ED">
      <w:pPr>
        <w:spacing w:before="0" w:line="240" w:lineRule="atLeast"/>
        <w:rPr>
          <w:b/>
        </w:rPr>
      </w:pPr>
    </w:p>
    <w:p w14:paraId="148D8B2F" w14:textId="77777777" w:rsidR="00C515AA" w:rsidRDefault="00C515AA" w:rsidP="002027ED">
      <w:pPr>
        <w:spacing w:before="0" w:line="240" w:lineRule="atLeast"/>
        <w:rPr>
          <w:b/>
        </w:rPr>
      </w:pPr>
    </w:p>
    <w:p w14:paraId="37CA35D1" w14:textId="77777777" w:rsidR="00C515AA" w:rsidRDefault="00C515AA" w:rsidP="002027ED">
      <w:pPr>
        <w:spacing w:before="0" w:line="240" w:lineRule="atLeast"/>
        <w:rPr>
          <w:b/>
        </w:rPr>
      </w:pPr>
    </w:p>
    <w:p w14:paraId="2A2350E3" w14:textId="77777777" w:rsidR="00C515AA" w:rsidRDefault="00C515AA" w:rsidP="002027ED">
      <w:pPr>
        <w:spacing w:before="0" w:line="240" w:lineRule="atLeast"/>
        <w:rPr>
          <w:b/>
        </w:rPr>
      </w:pPr>
    </w:p>
    <w:p w14:paraId="43F1C525" w14:textId="77777777" w:rsidR="00C515AA" w:rsidRDefault="00C515AA" w:rsidP="002027ED">
      <w:pPr>
        <w:spacing w:before="0" w:line="240" w:lineRule="atLeast"/>
        <w:rPr>
          <w:b/>
        </w:rPr>
      </w:pPr>
    </w:p>
    <w:p w14:paraId="7B097C5B" w14:textId="77777777" w:rsidR="00C515AA" w:rsidRDefault="00C515AA" w:rsidP="002027ED">
      <w:pPr>
        <w:spacing w:before="0" w:line="240" w:lineRule="atLeast"/>
        <w:rPr>
          <w:b/>
        </w:rPr>
      </w:pPr>
    </w:p>
    <w:p w14:paraId="050EA506" w14:textId="77777777" w:rsidR="00C515AA" w:rsidRDefault="00C515AA" w:rsidP="002027ED">
      <w:pPr>
        <w:spacing w:before="0" w:line="240" w:lineRule="atLeast"/>
        <w:rPr>
          <w:b/>
        </w:rPr>
      </w:pPr>
    </w:p>
    <w:p w14:paraId="5445E16C" w14:textId="77777777" w:rsidR="00C515AA" w:rsidRDefault="00C515AA" w:rsidP="002027ED">
      <w:pPr>
        <w:spacing w:before="0" w:line="240" w:lineRule="atLeast"/>
        <w:rPr>
          <w:b/>
        </w:rPr>
      </w:pPr>
    </w:p>
    <w:p w14:paraId="57D7A294" w14:textId="2981B3E7" w:rsidR="00C515AA" w:rsidRPr="00C515AA" w:rsidRDefault="00C515AA" w:rsidP="00C515AA">
      <w:pPr>
        <w:spacing w:after="240"/>
        <w:rPr>
          <w:b/>
          <w:i/>
          <w:iCs/>
        </w:rPr>
      </w:pPr>
      <w:r>
        <w:rPr>
          <w:b/>
        </w:rPr>
        <w:br/>
      </w:r>
      <w:r w:rsidRPr="00893807">
        <w:rPr>
          <w:i/>
          <w:iCs/>
        </w:rPr>
        <w:t xml:space="preserve">Zdroj: </w:t>
      </w:r>
      <w:proofErr w:type="spellStart"/>
      <w:r w:rsidRPr="00893807">
        <w:rPr>
          <w:i/>
          <w:iCs/>
        </w:rPr>
        <w:t>etfbook</w:t>
      </w:r>
      <w:proofErr w:type="spellEnd"/>
      <w:r w:rsidRPr="00893807">
        <w:rPr>
          <w:i/>
          <w:iCs/>
        </w:rPr>
        <w:t>, 31. července 2025</w:t>
      </w:r>
    </w:p>
    <w:p w14:paraId="3168453B" w14:textId="1DAED96B" w:rsidR="00B14448" w:rsidRDefault="006F508D" w:rsidP="002027ED">
      <w:pPr>
        <w:spacing w:before="0" w:line="240" w:lineRule="atLeast"/>
        <w:rPr>
          <w:b/>
        </w:rPr>
      </w:pPr>
      <w:r w:rsidRPr="00455A3C">
        <w:rPr>
          <w:b/>
        </w:rPr>
        <w:lastRenderedPageBreak/>
        <w:t>Pro více informací kontaktujte:</w:t>
      </w:r>
    </w:p>
    <w:p w14:paraId="0834ADE5" w14:textId="77777777" w:rsidR="00725052" w:rsidRDefault="00725052" w:rsidP="002027ED">
      <w:pPr>
        <w:spacing w:before="0" w:line="240" w:lineRule="atLeast"/>
        <w:rPr>
          <w:b/>
        </w:rPr>
      </w:pPr>
      <w:r>
        <w:rPr>
          <w:b/>
        </w:rPr>
        <w:t>Eliška Krohová</w:t>
      </w:r>
    </w:p>
    <w:p w14:paraId="67FFEC47" w14:textId="77777777" w:rsidR="00725052" w:rsidRPr="00455A3C" w:rsidRDefault="00725052" w:rsidP="002027ED">
      <w:pPr>
        <w:spacing w:before="0" w:line="240" w:lineRule="atLeast"/>
        <w:rPr>
          <w:b/>
          <w:bCs/>
        </w:rPr>
      </w:pPr>
      <w:r w:rsidRPr="00455A3C">
        <w:rPr>
          <w:b/>
          <w:bCs/>
        </w:rPr>
        <w:t>Crest Communications, a.s.</w:t>
      </w:r>
    </w:p>
    <w:p w14:paraId="60184193" w14:textId="77777777" w:rsidR="00725052" w:rsidRPr="00455A3C" w:rsidRDefault="00725052" w:rsidP="002027ED">
      <w:pPr>
        <w:spacing w:before="0" w:line="240" w:lineRule="atLeast"/>
      </w:pPr>
    </w:p>
    <w:p w14:paraId="1D987FD1" w14:textId="77777777" w:rsidR="00725052" w:rsidRPr="00455A3C" w:rsidRDefault="00725052" w:rsidP="002027ED">
      <w:pPr>
        <w:spacing w:before="0" w:line="240" w:lineRule="atLeast"/>
      </w:pPr>
      <w:r w:rsidRPr="00455A3C">
        <w:t>Ostrovní 126/30</w:t>
      </w:r>
    </w:p>
    <w:p w14:paraId="7E6C3F7A" w14:textId="77777777" w:rsidR="00725052" w:rsidRPr="00455A3C" w:rsidRDefault="00725052" w:rsidP="002027ED">
      <w:pPr>
        <w:spacing w:before="0" w:line="240" w:lineRule="atLeast"/>
      </w:pPr>
      <w:r w:rsidRPr="00455A3C">
        <w:t>110 00 Praha 1</w:t>
      </w:r>
    </w:p>
    <w:p w14:paraId="19CC2143" w14:textId="77777777" w:rsidR="00725052" w:rsidRPr="00455A3C" w:rsidRDefault="00725052" w:rsidP="002027ED">
      <w:pPr>
        <w:spacing w:before="0" w:line="240" w:lineRule="atLeast"/>
      </w:pPr>
      <w:r>
        <w:t>gsm: + 420 720 406 659</w:t>
      </w:r>
    </w:p>
    <w:p w14:paraId="4724B738" w14:textId="77777777" w:rsidR="000E2910" w:rsidRDefault="00725052" w:rsidP="002027ED">
      <w:pPr>
        <w:spacing w:before="0" w:line="240" w:lineRule="atLeast"/>
        <w:rPr>
          <w:rStyle w:val="Hypertextovodkaz"/>
        </w:rPr>
      </w:pPr>
      <w:r w:rsidRPr="00455A3C">
        <w:rPr>
          <w:color w:val="000000"/>
        </w:rPr>
        <w:t xml:space="preserve">e-mail: </w:t>
      </w:r>
      <w:hyperlink r:id="rId14" w:history="1">
        <w:r w:rsidRPr="00E23FD4">
          <w:rPr>
            <w:rStyle w:val="Hypertextovodkaz"/>
          </w:rPr>
          <w:t>eliska.krohova@crestcom.cz</w:t>
        </w:r>
      </w:hyperlink>
    </w:p>
    <w:p w14:paraId="6695BBCE" w14:textId="77777777" w:rsidR="005A5AB1" w:rsidRPr="005A5AB1" w:rsidRDefault="005A5AB1" w:rsidP="002027ED">
      <w:pPr>
        <w:pStyle w:val="F2-zkladn"/>
      </w:pPr>
    </w:p>
    <w:p w14:paraId="1952AD39" w14:textId="77777777" w:rsidR="00D404D5" w:rsidRPr="00D404D5" w:rsidRDefault="00D404D5" w:rsidP="002027ED">
      <w:pPr>
        <w:shd w:val="clear" w:color="auto" w:fill="FFFFFF"/>
        <w:spacing w:before="0" w:line="360" w:lineRule="atLeast"/>
        <w:rPr>
          <w:b/>
          <w:bCs/>
        </w:rPr>
      </w:pPr>
      <w:r w:rsidRPr="00D404D5">
        <w:rPr>
          <w:b/>
          <w:bCs/>
        </w:rPr>
        <w:t>Informace pro editory:</w:t>
      </w:r>
    </w:p>
    <w:p w14:paraId="13CC1FF4" w14:textId="77777777" w:rsidR="006E78BA" w:rsidRPr="00AF76C6" w:rsidRDefault="00D404D5" w:rsidP="00AF76C6">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18F2889E" w14:textId="77777777" w:rsidR="00424771" w:rsidRPr="00424771" w:rsidRDefault="00424771" w:rsidP="002027ED">
      <w:pPr>
        <w:pStyle w:val="F2-zkladn"/>
        <w:rPr>
          <w:b/>
          <w:bCs/>
        </w:rPr>
      </w:pPr>
      <w:r w:rsidRPr="00424771">
        <w:rPr>
          <w:b/>
          <w:bCs/>
        </w:rPr>
        <w:t>Důležité upozornění</w:t>
      </w:r>
    </w:p>
    <w:p w14:paraId="2B6FD8FC" w14:textId="77777777" w:rsidR="00424771" w:rsidRDefault="00424771" w:rsidP="002027ED">
      <w:pPr>
        <w:pStyle w:val="F2-zkladn"/>
      </w:pPr>
      <w:r>
        <w:t>Toto je propagační materiál. Tento dokument nesmí být bez předchozího souhlasu rozmnožován nebo rozšiřován.</w:t>
      </w:r>
    </w:p>
    <w:p w14:paraId="7CE40F3D" w14:textId="77777777" w:rsidR="00424771" w:rsidRDefault="00424771" w:rsidP="002027ED">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14:paraId="5429933E" w14:textId="77777777" w:rsidR="00424771" w:rsidRDefault="00424771" w:rsidP="002027ED">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A028392" w14:textId="77777777" w:rsidR="00424771" w:rsidRDefault="00424771" w:rsidP="002027ED">
      <w:pPr>
        <w:pStyle w:val="F2-zkladn"/>
      </w:pPr>
      <w:r>
        <w:t>Všechny názory představují stanoviska společnosti Fidelity, není-li uvedeno jinak. Fidelity, Fidelity International a logo Fidelity International a symbol měny F jsou všechno ochrannými známkami společnosti FIL Limited.</w:t>
      </w:r>
    </w:p>
    <w:p w14:paraId="2D7E4DE9" w14:textId="77777777" w:rsidR="00424771" w:rsidRDefault="00424771" w:rsidP="002027ED">
      <w:pPr>
        <w:pStyle w:val="F2-zkladn"/>
      </w:pPr>
      <w:r>
        <w:t xml:space="preserve">Tento dokument nepředstavuje distribuci, nabídku nebo výzvu k využití služeb investiční správy společnosti Fidelity, ani nabídku ke koupi, prodeji nebo výzvu k nabídce ke koupi nebo prodeji jakýchkoli </w:t>
      </w:r>
      <w:r>
        <w:lastRenderedPageBreak/>
        <w:t>cenných papírů v jakékoli jurisdikci nebo zemi, kde taková distribuce nebo nabídka není povolena či by byla v rozporu s místními zákony nebo předpisy.</w:t>
      </w:r>
    </w:p>
    <w:p w14:paraId="617F9D43" w14:textId="77777777" w:rsidR="00424771" w:rsidRDefault="00424771" w:rsidP="002027ED">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77C10753" w14:textId="77777777" w:rsidR="00424771" w:rsidRDefault="00424771" w:rsidP="002027ED">
      <w:pPr>
        <w:pStyle w:val="F2-zkladn"/>
      </w:pPr>
      <w:r>
        <w:t>Minulá výkonnost není spolehlivým ukazatelem budoucích výsledků.</w:t>
      </w:r>
    </w:p>
    <w:p w14:paraId="43430240" w14:textId="77777777" w:rsidR="00424771" w:rsidRDefault="00424771" w:rsidP="002027ED">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7CBA17E7" w14:textId="77777777" w:rsidR="00424771" w:rsidRDefault="00424771" w:rsidP="002027ED">
      <w:pPr>
        <w:pStyle w:val="F2-zkladn"/>
      </w:pPr>
      <w:r>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14:paraId="0A340423" w14:textId="77777777" w:rsidR="00424771" w:rsidRDefault="00424771" w:rsidP="002027ED">
      <w:pPr>
        <w:pStyle w:val="F2-zkladn"/>
      </w:pPr>
      <w:r>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088F7914" w14:textId="77777777" w:rsidR="00424771" w:rsidRDefault="00424771" w:rsidP="002027ED">
      <w:pPr>
        <w:pStyle w:val="F2-zkladn"/>
      </w:pPr>
      <w:r>
        <w:t>Investoři a potenciální investoři mohou získat informace o svých právech ve spojení se stížnostmi a soudními spory na tomto odkazu: https://www.fidelity.cz (v češtině).</w:t>
      </w:r>
    </w:p>
    <w:p w14:paraId="032496E3" w14:textId="43C1518E" w:rsidR="00D20058" w:rsidRDefault="008D394A" w:rsidP="001D441A">
      <w:pPr>
        <w:pStyle w:val="F2-zkladn"/>
      </w:pPr>
      <w:r w:rsidRPr="008D394A">
        <w:rPr>
          <w:lang w:val="en-GB"/>
        </w:rPr>
        <w:t>MKAT13163</w:t>
      </w:r>
    </w:p>
    <w:sectPr w:rsidR="00D20058" w:rsidSect="00F50497">
      <w:headerReference w:type="default" r:id="rId15"/>
      <w:footerReference w:type="default" r:id="rId16"/>
      <w:headerReference w:type="first" r:id="rId17"/>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07F73" w14:textId="77777777" w:rsidR="001B7A52" w:rsidRDefault="001B7A52">
      <w:r>
        <w:separator/>
      </w:r>
    </w:p>
  </w:endnote>
  <w:endnote w:type="continuationSeparator" w:id="0">
    <w:p w14:paraId="5B3C6B4D" w14:textId="77777777" w:rsidR="001B7A52" w:rsidRDefault="001B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D66BD" w14:textId="77777777" w:rsidR="001B7A52" w:rsidRDefault="001B7A52">
      <w:r>
        <w:separator/>
      </w:r>
    </w:p>
  </w:footnote>
  <w:footnote w:type="continuationSeparator" w:id="0">
    <w:p w14:paraId="3A0DDE84" w14:textId="77777777" w:rsidR="001B7A52" w:rsidRDefault="001B7A52">
      <w:r>
        <w:continuationSeparator/>
      </w:r>
    </w:p>
  </w:footnote>
  <w:footnote w:type="continuationNotice" w:id="1">
    <w:p w14:paraId="42DD1B19" w14:textId="77777777" w:rsidR="001B7A52" w:rsidRDefault="001B7A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000233"/>
    <w:multiLevelType w:val="multilevel"/>
    <w:tmpl w:val="FF0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8690C4C"/>
    <w:multiLevelType w:val="multilevel"/>
    <w:tmpl w:val="E4DA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7"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39"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7"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EEB490C"/>
    <w:multiLevelType w:val="multilevel"/>
    <w:tmpl w:val="EFB0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484830">
    <w:abstractNumId w:val="18"/>
  </w:num>
  <w:num w:numId="2" w16cid:durableId="1895313556">
    <w:abstractNumId w:val="38"/>
  </w:num>
  <w:num w:numId="3" w16cid:durableId="1213884590">
    <w:abstractNumId w:val="45"/>
  </w:num>
  <w:num w:numId="4" w16cid:durableId="249312893">
    <w:abstractNumId w:val="24"/>
  </w:num>
  <w:num w:numId="5" w16cid:durableId="315694586">
    <w:abstractNumId w:val="26"/>
  </w:num>
  <w:num w:numId="6" w16cid:durableId="108403674">
    <w:abstractNumId w:val="22"/>
  </w:num>
  <w:num w:numId="7" w16cid:durableId="604575006">
    <w:abstractNumId w:val="43"/>
  </w:num>
  <w:num w:numId="8" w16cid:durableId="2105804766">
    <w:abstractNumId w:val="29"/>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1"/>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6"/>
  </w:num>
  <w:num w:numId="21" w16cid:durableId="1864786788">
    <w:abstractNumId w:val="36"/>
  </w:num>
  <w:num w:numId="22" w16cid:durableId="907761201">
    <w:abstractNumId w:val="13"/>
  </w:num>
  <w:num w:numId="23" w16cid:durableId="827669594">
    <w:abstractNumId w:val="10"/>
  </w:num>
  <w:num w:numId="24" w16cid:durableId="1534538987">
    <w:abstractNumId w:val="14"/>
  </w:num>
  <w:num w:numId="25" w16cid:durableId="274143246">
    <w:abstractNumId w:val="20"/>
  </w:num>
  <w:num w:numId="26" w16cid:durableId="1315336715">
    <w:abstractNumId w:val="42"/>
  </w:num>
  <w:num w:numId="27" w16cid:durableId="769544694">
    <w:abstractNumId w:val="33"/>
  </w:num>
  <w:num w:numId="28" w16cid:durableId="424962738">
    <w:abstractNumId w:val="21"/>
  </w:num>
  <w:num w:numId="29" w16cid:durableId="1088423855">
    <w:abstractNumId w:val="23"/>
  </w:num>
  <w:num w:numId="30" w16cid:durableId="838152150">
    <w:abstractNumId w:val="25"/>
  </w:num>
  <w:num w:numId="31" w16cid:durableId="771709832">
    <w:abstractNumId w:val="37"/>
  </w:num>
  <w:num w:numId="32" w16cid:durableId="1570068625">
    <w:abstractNumId w:val="46"/>
  </w:num>
  <w:num w:numId="33" w16cid:durableId="280261214">
    <w:abstractNumId w:val="32"/>
  </w:num>
  <w:num w:numId="34" w16cid:durableId="1755005586">
    <w:abstractNumId w:val="44"/>
  </w:num>
  <w:num w:numId="35" w16cid:durableId="975062918">
    <w:abstractNumId w:val="48"/>
  </w:num>
  <w:num w:numId="36" w16cid:durableId="65340861">
    <w:abstractNumId w:val="15"/>
  </w:num>
  <w:num w:numId="37" w16cid:durableId="369651298">
    <w:abstractNumId w:val="41"/>
  </w:num>
  <w:num w:numId="38" w16cid:durableId="561336543">
    <w:abstractNumId w:val="17"/>
  </w:num>
  <w:num w:numId="39" w16cid:durableId="993333316">
    <w:abstractNumId w:val="31"/>
  </w:num>
  <w:num w:numId="40" w16cid:durableId="945430004">
    <w:abstractNumId w:val="39"/>
  </w:num>
  <w:num w:numId="41" w16cid:durableId="1123378030">
    <w:abstractNumId w:val="47"/>
  </w:num>
  <w:num w:numId="42" w16cid:durableId="2118477175">
    <w:abstractNumId w:val="28"/>
  </w:num>
  <w:num w:numId="43" w16cid:durableId="1760370648">
    <w:abstractNumId w:val="40"/>
  </w:num>
  <w:num w:numId="44" w16cid:durableId="624894503">
    <w:abstractNumId w:val="19"/>
  </w:num>
  <w:num w:numId="45" w16cid:durableId="868492869">
    <w:abstractNumId w:val="49"/>
  </w:num>
  <w:num w:numId="46" w16cid:durableId="321738993">
    <w:abstractNumId w:val="27"/>
  </w:num>
  <w:num w:numId="47" w16cid:durableId="1931890237">
    <w:abstractNumId w:val="34"/>
  </w:num>
  <w:num w:numId="48" w16cid:durableId="1621035614">
    <w:abstractNumId w:val="12"/>
  </w:num>
  <w:num w:numId="49" w16cid:durableId="625696803">
    <w:abstractNumId w:val="30"/>
  </w:num>
  <w:num w:numId="50" w16cid:durableId="1830244003">
    <w:abstractNumId w:val="35"/>
  </w:num>
  <w:num w:numId="51" w16cid:durableId="2144299643">
    <w:abstractNumId w:val="5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7127"/>
    <w:rsid w:val="000E7418"/>
    <w:rsid w:val="000F02A2"/>
    <w:rsid w:val="000F0587"/>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2936"/>
    <w:rsid w:val="001E2B0D"/>
    <w:rsid w:val="001E476B"/>
    <w:rsid w:val="001E507C"/>
    <w:rsid w:val="001E53EB"/>
    <w:rsid w:val="001E57AB"/>
    <w:rsid w:val="001E67FF"/>
    <w:rsid w:val="001E6913"/>
    <w:rsid w:val="001E6C4F"/>
    <w:rsid w:val="001F1241"/>
    <w:rsid w:val="001F1A22"/>
    <w:rsid w:val="001F2C9A"/>
    <w:rsid w:val="001F4B06"/>
    <w:rsid w:val="001F5BD4"/>
    <w:rsid w:val="001F627F"/>
    <w:rsid w:val="001F65C1"/>
    <w:rsid w:val="002006D5"/>
    <w:rsid w:val="00201CD7"/>
    <w:rsid w:val="002027ED"/>
    <w:rsid w:val="00202F64"/>
    <w:rsid w:val="00203977"/>
    <w:rsid w:val="00206A9C"/>
    <w:rsid w:val="00210DA8"/>
    <w:rsid w:val="00210EEA"/>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40FEC"/>
    <w:rsid w:val="0024226C"/>
    <w:rsid w:val="002423A0"/>
    <w:rsid w:val="002438EA"/>
    <w:rsid w:val="00243F5F"/>
    <w:rsid w:val="00245331"/>
    <w:rsid w:val="00246476"/>
    <w:rsid w:val="0024760D"/>
    <w:rsid w:val="002476C8"/>
    <w:rsid w:val="00252C08"/>
    <w:rsid w:val="0025356A"/>
    <w:rsid w:val="002548DB"/>
    <w:rsid w:val="00255335"/>
    <w:rsid w:val="00255E9C"/>
    <w:rsid w:val="00255F84"/>
    <w:rsid w:val="00256118"/>
    <w:rsid w:val="0025641E"/>
    <w:rsid w:val="00256692"/>
    <w:rsid w:val="00257859"/>
    <w:rsid w:val="00262023"/>
    <w:rsid w:val="00262CDC"/>
    <w:rsid w:val="0026336D"/>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B85"/>
    <w:rsid w:val="002F5491"/>
    <w:rsid w:val="002F7A8F"/>
    <w:rsid w:val="00301671"/>
    <w:rsid w:val="00301881"/>
    <w:rsid w:val="0030211F"/>
    <w:rsid w:val="00302961"/>
    <w:rsid w:val="00303102"/>
    <w:rsid w:val="00304242"/>
    <w:rsid w:val="00307253"/>
    <w:rsid w:val="0030766B"/>
    <w:rsid w:val="003078EB"/>
    <w:rsid w:val="00307E7E"/>
    <w:rsid w:val="00310E2F"/>
    <w:rsid w:val="003114D0"/>
    <w:rsid w:val="00311AE0"/>
    <w:rsid w:val="00311D2E"/>
    <w:rsid w:val="003172DF"/>
    <w:rsid w:val="003177AF"/>
    <w:rsid w:val="00320015"/>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81E63"/>
    <w:rsid w:val="00382A16"/>
    <w:rsid w:val="00383735"/>
    <w:rsid w:val="00383E57"/>
    <w:rsid w:val="00384699"/>
    <w:rsid w:val="00386215"/>
    <w:rsid w:val="003864E2"/>
    <w:rsid w:val="003866DC"/>
    <w:rsid w:val="003872AC"/>
    <w:rsid w:val="003900AC"/>
    <w:rsid w:val="00390999"/>
    <w:rsid w:val="003911D6"/>
    <w:rsid w:val="00391A9C"/>
    <w:rsid w:val="00391EEB"/>
    <w:rsid w:val="00394B7B"/>
    <w:rsid w:val="00395B87"/>
    <w:rsid w:val="00397E34"/>
    <w:rsid w:val="003A0565"/>
    <w:rsid w:val="003A0BB4"/>
    <w:rsid w:val="003A2CC7"/>
    <w:rsid w:val="003A33EF"/>
    <w:rsid w:val="003A415C"/>
    <w:rsid w:val="003A4774"/>
    <w:rsid w:val="003A5592"/>
    <w:rsid w:val="003A68DD"/>
    <w:rsid w:val="003A7050"/>
    <w:rsid w:val="003A7482"/>
    <w:rsid w:val="003A75FD"/>
    <w:rsid w:val="003A7DAF"/>
    <w:rsid w:val="003B397A"/>
    <w:rsid w:val="003B3BF6"/>
    <w:rsid w:val="003B4278"/>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E03EB"/>
    <w:rsid w:val="003E0642"/>
    <w:rsid w:val="003E1363"/>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108D1"/>
    <w:rsid w:val="00611055"/>
    <w:rsid w:val="00611687"/>
    <w:rsid w:val="00612491"/>
    <w:rsid w:val="00613269"/>
    <w:rsid w:val="00614F7E"/>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7F"/>
    <w:rsid w:val="00640475"/>
    <w:rsid w:val="006404A9"/>
    <w:rsid w:val="006419BA"/>
    <w:rsid w:val="00641D35"/>
    <w:rsid w:val="00641F34"/>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52A0"/>
    <w:rsid w:val="00666290"/>
    <w:rsid w:val="00670027"/>
    <w:rsid w:val="00671D22"/>
    <w:rsid w:val="00673018"/>
    <w:rsid w:val="00675EB3"/>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9D3"/>
    <w:rsid w:val="006D06F9"/>
    <w:rsid w:val="006D0805"/>
    <w:rsid w:val="006D0AA8"/>
    <w:rsid w:val="006D2153"/>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10424"/>
    <w:rsid w:val="007109F6"/>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71D3C"/>
    <w:rsid w:val="00872129"/>
    <w:rsid w:val="00872D1B"/>
    <w:rsid w:val="00872DC6"/>
    <w:rsid w:val="008730BC"/>
    <w:rsid w:val="00873ABC"/>
    <w:rsid w:val="0087451E"/>
    <w:rsid w:val="00874D66"/>
    <w:rsid w:val="0087590B"/>
    <w:rsid w:val="00876BDD"/>
    <w:rsid w:val="00877A7A"/>
    <w:rsid w:val="00877D54"/>
    <w:rsid w:val="00880394"/>
    <w:rsid w:val="0088208A"/>
    <w:rsid w:val="00882EAC"/>
    <w:rsid w:val="0088306B"/>
    <w:rsid w:val="00883B41"/>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68A"/>
    <w:rsid w:val="008C1EF2"/>
    <w:rsid w:val="008C2F43"/>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30F7"/>
    <w:rsid w:val="00945D30"/>
    <w:rsid w:val="00946916"/>
    <w:rsid w:val="00947045"/>
    <w:rsid w:val="009475A6"/>
    <w:rsid w:val="0094793F"/>
    <w:rsid w:val="00950C28"/>
    <w:rsid w:val="00951993"/>
    <w:rsid w:val="0095216E"/>
    <w:rsid w:val="00952D7A"/>
    <w:rsid w:val="00953E57"/>
    <w:rsid w:val="00954170"/>
    <w:rsid w:val="0095420F"/>
    <w:rsid w:val="00954CC0"/>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D1E"/>
    <w:rsid w:val="00AF6D11"/>
    <w:rsid w:val="00AF76C6"/>
    <w:rsid w:val="00B01B17"/>
    <w:rsid w:val="00B04103"/>
    <w:rsid w:val="00B047E9"/>
    <w:rsid w:val="00B050FB"/>
    <w:rsid w:val="00B05867"/>
    <w:rsid w:val="00B07BDD"/>
    <w:rsid w:val="00B10EC0"/>
    <w:rsid w:val="00B123FF"/>
    <w:rsid w:val="00B134B6"/>
    <w:rsid w:val="00B142F4"/>
    <w:rsid w:val="00B14448"/>
    <w:rsid w:val="00B16061"/>
    <w:rsid w:val="00B1645D"/>
    <w:rsid w:val="00B16CC2"/>
    <w:rsid w:val="00B17989"/>
    <w:rsid w:val="00B17C66"/>
    <w:rsid w:val="00B17DAF"/>
    <w:rsid w:val="00B17E1E"/>
    <w:rsid w:val="00B21C56"/>
    <w:rsid w:val="00B24AE7"/>
    <w:rsid w:val="00B25103"/>
    <w:rsid w:val="00B27A8F"/>
    <w:rsid w:val="00B27B2E"/>
    <w:rsid w:val="00B27CF4"/>
    <w:rsid w:val="00B31421"/>
    <w:rsid w:val="00B31D2B"/>
    <w:rsid w:val="00B31E2C"/>
    <w:rsid w:val="00B32E44"/>
    <w:rsid w:val="00B336AA"/>
    <w:rsid w:val="00B34173"/>
    <w:rsid w:val="00B34B98"/>
    <w:rsid w:val="00B362ED"/>
    <w:rsid w:val="00B36952"/>
    <w:rsid w:val="00B375B6"/>
    <w:rsid w:val="00B40432"/>
    <w:rsid w:val="00B410C1"/>
    <w:rsid w:val="00B4166B"/>
    <w:rsid w:val="00B418ED"/>
    <w:rsid w:val="00B42554"/>
    <w:rsid w:val="00B42703"/>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2970"/>
    <w:rsid w:val="00BC34F6"/>
    <w:rsid w:val="00BC4EF0"/>
    <w:rsid w:val="00BC6E99"/>
    <w:rsid w:val="00BC7C00"/>
    <w:rsid w:val="00BD0CA7"/>
    <w:rsid w:val="00BD1EFB"/>
    <w:rsid w:val="00BD223A"/>
    <w:rsid w:val="00BD2B9E"/>
    <w:rsid w:val="00BD57C8"/>
    <w:rsid w:val="00BD5879"/>
    <w:rsid w:val="00BD5A0C"/>
    <w:rsid w:val="00BD5B58"/>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5F62"/>
    <w:rsid w:val="00D5110F"/>
    <w:rsid w:val="00D513E0"/>
    <w:rsid w:val="00D5168F"/>
    <w:rsid w:val="00D524BC"/>
    <w:rsid w:val="00D5353F"/>
    <w:rsid w:val="00D541BE"/>
    <w:rsid w:val="00D546FB"/>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639E"/>
    <w:rsid w:val="00E47E96"/>
    <w:rsid w:val="00E510DC"/>
    <w:rsid w:val="00E53631"/>
    <w:rsid w:val="00E5420C"/>
    <w:rsid w:val="00E56339"/>
    <w:rsid w:val="00E56ECC"/>
    <w:rsid w:val="00E572EF"/>
    <w:rsid w:val="00E5762D"/>
    <w:rsid w:val="00E57FEE"/>
    <w:rsid w:val="00E629C3"/>
    <w:rsid w:val="00E63001"/>
    <w:rsid w:val="00E667B4"/>
    <w:rsid w:val="00E715FD"/>
    <w:rsid w:val="00E71601"/>
    <w:rsid w:val="00E718F8"/>
    <w:rsid w:val="00E71F11"/>
    <w:rsid w:val="00E729F5"/>
    <w:rsid w:val="00E736B3"/>
    <w:rsid w:val="00E73C8D"/>
    <w:rsid w:val="00E758D8"/>
    <w:rsid w:val="00E76BE0"/>
    <w:rsid w:val="00E7728D"/>
    <w:rsid w:val="00E7795C"/>
    <w:rsid w:val="00E77F48"/>
    <w:rsid w:val="00E80B69"/>
    <w:rsid w:val="00E83C37"/>
    <w:rsid w:val="00E87B8E"/>
    <w:rsid w:val="00E900D1"/>
    <w:rsid w:val="00E90673"/>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9DF"/>
    <w:rsid w:val="00F8600D"/>
    <w:rsid w:val="00F8786B"/>
    <w:rsid w:val="00F90530"/>
    <w:rsid w:val="00F91D8A"/>
    <w:rsid w:val="00F93915"/>
    <w:rsid w:val="00F94304"/>
    <w:rsid w:val="00F943F5"/>
    <w:rsid w:val="00F94501"/>
    <w:rsid w:val="00F94AF9"/>
    <w:rsid w:val="00F94F1B"/>
    <w:rsid w:val="00F957AF"/>
    <w:rsid w:val="00F96174"/>
    <w:rsid w:val="00FA08E4"/>
    <w:rsid w:val="00FA1A11"/>
    <w:rsid w:val="00FA2515"/>
    <w:rsid w:val="00FA269B"/>
    <w:rsid w:val="00FA340A"/>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77AF"/>
    <w:rsid w:val="00FC79C6"/>
    <w:rsid w:val="00FD00C2"/>
    <w:rsid w:val="00FD0991"/>
    <w:rsid w:val="00FD1226"/>
    <w:rsid w:val="00FD4FDA"/>
    <w:rsid w:val="00FD620B"/>
    <w:rsid w:val="00FD6B02"/>
    <w:rsid w:val="00FE0037"/>
    <w:rsid w:val="00FE0B7F"/>
    <w:rsid w:val="00FE0F32"/>
    <w:rsid w:val="00FE11DF"/>
    <w:rsid w:val="00FE2E9C"/>
    <w:rsid w:val="00FE4EFF"/>
    <w:rsid w:val="00FE62AA"/>
    <w:rsid w:val="00FF047B"/>
    <w:rsid w:val="00FF2F1A"/>
    <w:rsid w:val="00FF2FB9"/>
    <w:rsid w:val="00FF364F"/>
    <w:rsid w:val="00FF41A6"/>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iska.krohova@crestcom.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2.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3.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4.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1433</Words>
  <Characters>8456</Characters>
  <Application>Microsoft Office Word</Application>
  <DocSecurity>0</DocSecurity>
  <Lines>70</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9870</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2</cp:revision>
  <cp:lastPrinted>2015-11-30T16:29:00Z</cp:lastPrinted>
  <dcterms:created xsi:type="dcterms:W3CDTF">2025-08-14T11:25:00Z</dcterms:created>
  <dcterms:modified xsi:type="dcterms:W3CDTF">2025-08-14T11:25:00Z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